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3656B" w:rsidRPr="003B31A2" w:rsidTr="00CB4ABB">
        <w:tc>
          <w:tcPr>
            <w:tcW w:w="9923" w:type="dxa"/>
          </w:tcPr>
          <w:p w:rsidR="0063656B" w:rsidRPr="003B31A2" w:rsidRDefault="0063656B" w:rsidP="00A72673">
            <w:pPr>
              <w:tabs>
                <w:tab w:val="left" w:pos="3369"/>
              </w:tabs>
              <w:spacing w:line="260" w:lineRule="atLeast"/>
            </w:pPr>
            <w:r w:rsidRPr="00A72673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bookmarkStart w:id="0" w:name="Επιλογή1"/>
            <w:r w:rsidR="009B79F3" w:rsidRPr="00A72673">
              <w:rPr>
                <w:rFonts w:ascii="Tahoma" w:hAnsi="Tahoma" w:cs="Tahoma"/>
                <w:sz w:val="16"/>
                <w:szCs w:val="16"/>
                <w:lang w:bidi="hi-IN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A72673">
              <w:rPr>
                <w:rFonts w:ascii="Tahoma" w:hAnsi="Tahoma" w:cs="Tahoma"/>
                <w:sz w:val="16"/>
                <w:szCs w:val="16"/>
                <w:lang w:bidi="hi-IN"/>
              </w:rPr>
              <w:instrText xml:space="preserve"> FORMCHECKBOX </w:instrText>
            </w:r>
            <w:r w:rsidR="00952651">
              <w:rPr>
                <w:rFonts w:ascii="Tahoma" w:hAnsi="Tahoma" w:cs="Tahoma"/>
                <w:sz w:val="16"/>
                <w:szCs w:val="16"/>
                <w:lang w:bidi="hi-IN"/>
              </w:rPr>
            </w:r>
            <w:r w:rsidR="00952651">
              <w:rPr>
                <w:rFonts w:ascii="Tahoma" w:hAnsi="Tahoma" w:cs="Tahoma"/>
                <w:sz w:val="16"/>
                <w:szCs w:val="16"/>
                <w:lang w:bidi="hi-IN"/>
              </w:rPr>
              <w:fldChar w:fldCharType="separate"/>
            </w:r>
            <w:r w:rsidR="009B79F3" w:rsidRPr="00A72673">
              <w:rPr>
                <w:rFonts w:ascii="Tahoma" w:hAnsi="Tahoma" w:cs="Tahoma"/>
                <w:sz w:val="16"/>
                <w:szCs w:val="16"/>
                <w:lang w:bidi="hi-IN"/>
              </w:rPr>
              <w:fldChar w:fldCharType="end"/>
            </w:r>
            <w:bookmarkEnd w:id="0"/>
          </w:p>
        </w:tc>
      </w:tr>
    </w:tbl>
    <w:p w:rsidR="0063656B" w:rsidRDefault="0063656B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5"/>
        <w:gridCol w:w="3024"/>
        <w:gridCol w:w="5954"/>
      </w:tblGrid>
      <w:tr w:rsidR="0063656B" w:rsidRPr="00F40948" w:rsidTr="00CB4ABB">
        <w:trPr>
          <w:trHeight w:val="377"/>
        </w:trPr>
        <w:tc>
          <w:tcPr>
            <w:tcW w:w="945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</w:tcPr>
          <w:p w:rsidR="0063656B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3656B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3656B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3656B" w:rsidRPr="009A5A45" w:rsidRDefault="0063656B" w:rsidP="003832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Β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63656B" w:rsidRPr="009A5A45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A5A45">
              <w:rPr>
                <w:rFonts w:ascii="Tahoma" w:hAnsi="Tahoma" w:cs="Tahoma"/>
                <w:b/>
                <w:bCs/>
                <w:sz w:val="16"/>
                <w:szCs w:val="16"/>
              </w:rPr>
              <w:t>ΑΜΕΣΟΣ ΠΡΟΪΣΤΑΜΕΝΟΣ: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3656B" w:rsidRPr="009A5A45" w:rsidRDefault="0063656B" w:rsidP="00954D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ΕΥΔ </w:t>
            </w:r>
          </w:p>
        </w:tc>
      </w:tr>
      <w:tr w:rsidR="0063656B" w:rsidRPr="00F40948" w:rsidTr="00CB4ABB">
        <w:trPr>
          <w:trHeight w:val="210"/>
        </w:trPr>
        <w:tc>
          <w:tcPr>
            <w:tcW w:w="94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63656B" w:rsidRPr="009A5A45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63656B" w:rsidRPr="009A5A45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A5A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3656B" w:rsidRPr="009A5A45" w:rsidRDefault="0063656B" w:rsidP="00872102">
            <w:pPr>
              <w:rPr>
                <w:rFonts w:ascii="Tahoma" w:hAnsi="Tahoma" w:cs="Tahoma"/>
                <w:sz w:val="16"/>
                <w:szCs w:val="16"/>
              </w:rPr>
            </w:pPr>
            <w:r w:rsidRPr="009A5A45">
              <w:rPr>
                <w:rFonts w:ascii="Tahoma" w:hAnsi="Tahoma" w:cs="Tahoma"/>
                <w:bCs/>
                <w:sz w:val="16"/>
                <w:szCs w:val="16"/>
              </w:rPr>
              <w:t xml:space="preserve">Τα στελέχη της Μονάδας </w:t>
            </w:r>
          </w:p>
        </w:tc>
      </w:tr>
      <w:tr w:rsidR="00B61233" w:rsidRPr="00F40948" w:rsidTr="00B61233">
        <w:trPr>
          <w:trHeight w:val="694"/>
        </w:trPr>
        <w:tc>
          <w:tcPr>
            <w:tcW w:w="945" w:type="dxa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B61233" w:rsidRPr="009A5A45" w:rsidRDefault="00B61233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1233" w:rsidRDefault="00B6123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ΑΝΑΠΛΗΡΩΝΕΤΑΙ ΑΠΟ: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61233" w:rsidRDefault="00B612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Τον κατά βαθμό ανώτερο υπάλληλο της Μονάδας. Σε περίπτωση ομοιοβάθμων, αναπληρωτής είναι ο υπάλληλος που έχει τον περισσότερο χρόνο υπηρεσίας στο βαθμό.</w:t>
            </w:r>
          </w:p>
        </w:tc>
      </w:tr>
      <w:tr w:rsidR="0063656B" w:rsidRPr="00F40948" w:rsidTr="00CB4ABB">
        <w:trPr>
          <w:trHeight w:val="1026"/>
        </w:trPr>
        <w:tc>
          <w:tcPr>
            <w:tcW w:w="94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63656B" w:rsidRPr="009A5A45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63656B" w:rsidRPr="009A5A45" w:rsidRDefault="0063656B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A5A45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3656B" w:rsidRPr="00564A84" w:rsidRDefault="0063656B" w:rsidP="0013735B">
            <w:pPr>
              <w:jc w:val="left"/>
              <w:rPr>
                <w:rFonts w:ascii="Tahoma" w:hAnsi="Tahoma" w:cs="Tahoma"/>
                <w:bCs/>
                <w:sz w:val="16"/>
                <w:szCs w:val="16"/>
              </w:rPr>
            </w:pPr>
            <w:r w:rsidRPr="009A5A45">
              <w:rPr>
                <w:rFonts w:ascii="Tahoma" w:hAnsi="Tahoma" w:cs="Tahoma"/>
                <w:bCs/>
                <w:sz w:val="16"/>
                <w:szCs w:val="16"/>
              </w:rPr>
              <w:t>Ο έχων τη συνολική ευθύνη για τη λειτουργία και την αποτελεσματικότητα της Μονάδας και τον συντονισμό των ενεργειών διαχείρισης των Πράξεων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που συγχρηματοδοτούνται από άλλα ΕΠ και η διαχείρισή τους ανατίθεται στην ΕΥΔ, </w:t>
            </w:r>
            <w:r w:rsidRPr="009A5A45">
              <w:rPr>
                <w:rFonts w:ascii="Tahoma" w:hAnsi="Tahoma" w:cs="Tahoma"/>
                <w:bCs/>
                <w:sz w:val="16"/>
                <w:szCs w:val="16"/>
              </w:rPr>
              <w:t>εισηγούμενος για τα παραπάνω θέματα στον Προϊστάμενο της ΕΥΔ</w:t>
            </w:r>
          </w:p>
        </w:tc>
      </w:tr>
    </w:tbl>
    <w:p w:rsidR="0063656B" w:rsidRPr="009608A8" w:rsidRDefault="0063656B"/>
    <w:tbl>
      <w:tblPr>
        <w:tblW w:w="515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3656B" w:rsidRPr="009550B1" w:rsidTr="00CB4ABB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008080"/>
          </w:tcPr>
          <w:p w:rsidR="0063656B" w:rsidRPr="009550B1" w:rsidRDefault="0063656B" w:rsidP="002B4B4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63656B" w:rsidRPr="00F83C07" w:rsidTr="00040802">
        <w:trPr>
          <w:trHeight w:val="252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63656B" w:rsidRPr="00786A6E" w:rsidRDefault="0063656B" w:rsidP="003554F8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786A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Παρακολούθηση Υλοποίησης Πράξεων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παρακολούθηση της πορείας υλοποίησης των Πράξεων του ΕΠ.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όλες τις αναγκαίες ενέργειες 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προκειμένου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να εξασφαλιστούν οι 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ετήσιες πιστώσεις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οι χρηματοδοτήσεις των έργων στο ΠΔΕ.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Διασφάλιση της λήψης των κατάλληλων μέτρων για την έγκαιρη επίλυση των προβλημάτων που έχουν εντοπιστεί </w:t>
            </w:r>
            <w:r w:rsidRPr="00342FA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 τη διάρκεια υλοποίησης των Πράξεων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Διασφάλιση της υλοποίησης των κατάλληλων ενεργειών για την υποστήριξη των Δικαιούχων.  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C7C1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για την έκδοση τυχόν τροποποίησης της Απόφασης Ένταξης.</w:t>
            </w:r>
          </w:p>
          <w:p w:rsidR="0063656B" w:rsidRPr="001C7C18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C7C1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για τη θέση σε καθεστώς επιτήρησης των Δικαιούχων του ΕΣΠΑ 2014-2020 που οι Πράξεις τους αποκλίνουν από την Απόφαση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</w:t>
            </w:r>
            <w:r w:rsidRPr="001C7C1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νταξης ή από το χρονικό προγραμματισμό υλοποίησής τους και πρόταση για διορθωτικά μέτρα και περ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ίοδο συμμόρφωσης. Ευθύνη για την παρακολούθηση της υλοποίησης των διορθωτικών μέτρων.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B1E7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την </w:t>
            </w:r>
            <w:r w:rsidRPr="00EB1E7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ανάκληση 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ης</w:t>
            </w:r>
            <w:r w:rsidR="00DB3990" w:rsidRPr="00DB39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</w:t>
            </w:r>
            <w:r w:rsidRPr="00EB1E7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όφασης Ένταξης Πράξης, όπου απαιτείται.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παρακολούθηση</w:t>
            </w:r>
            <w:r w:rsidR="00DB3990" w:rsidRPr="00DB39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καθαρ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ών</w:t>
            </w:r>
            <w:r w:rsidR="00DB3990" w:rsidRPr="00DB39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εσόδων των Π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ράξεων </w:t>
            </w:r>
            <w:r w:rsidRPr="0063418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παράγουν έσοδα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ενημέρωση της Αρχής Πιστοποίησης, σύμφωνα με τις διατάξεις των Κανονισμών.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C7C1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για την έκδοση της Απόφασης Ολοκλήρωσης της Πράξης.</w:t>
            </w:r>
          </w:p>
          <w:p w:rsidR="0063656B" w:rsidRPr="00786A6E" w:rsidRDefault="0063656B" w:rsidP="00F63A8C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786A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Προληπτικοί έλεγχοι δημοσίων συμβάσεων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Επιβεβαίωση των</w:t>
            </w:r>
            <w:r w:rsidRPr="00342FA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ελέγχων νομιμότητας των διακηρύξεων, των διαδικασιών ανάθεσης των δημοσίων συμβάσεων και των τροποποιήσεων αυτών.</w:t>
            </w:r>
          </w:p>
          <w:p w:rsidR="0063656B" w:rsidRPr="00786A6E" w:rsidRDefault="0063656B" w:rsidP="00462E42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786A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Διαχειριστικές (διοικητικές, επιτόπιες) Επαληθεύσεις Πράξεων 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Επιβεβαίωση των διοικητικών επαληθεύσεων και των σχετικών εκθέσεων.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Οριστικοποίηση των αποτελεσμάτων που προκύπτουν από την εφαρμογή της </w:t>
            </w:r>
            <w:r w:rsidRPr="00E030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δειγματοληπτικής μεθόδου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E030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βάσει της οποίας επιλέγονται οι προς επαλήθευση Πράξεις.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</w:t>
            </w:r>
            <w:r w:rsidRPr="004D19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την κατάρτιση του προγράμματος επι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τόπιων επαληθεύσεων και </w:t>
            </w:r>
            <w:r w:rsidRPr="004D19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εφαρμογή</w:t>
            </w:r>
            <w:r w:rsidRPr="004D19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για τη συγκρότηση οργάνων επιτόπιων επαληθεύσεων και διασφάλιση της έγκαιρης σύνταξης των σχετικών εκθέσεων.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την έγκαιρη 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νημέρωση της Αρχής Πιστοποίησης σε περίπτωση 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σοβαρ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ών ενδείξεων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για την ύπαρξη παραβάσεων εθνικού ή κοινοτικού δικαίου.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Όπου απαιτείται, εισήγηση για την αναστολή χρηματοδότησης της Πράξης. 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έγκαιρης καταχώρη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των στοιχείων στο ΟΠΣ που αφορούν στις διοικητικές και επιτόπιες επαληθε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ύσεις που πραγματοποιούνται.</w:t>
            </w:r>
          </w:p>
          <w:p w:rsidR="0063656B" w:rsidRPr="00786A6E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παρακολούθηση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 συμμόρφωσης με συστάσεις σε συνέχεια εκθέσεων διοικητικών και επιτόπιων επαληθεύσεων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Default="0063656B" w:rsidP="00952651">
            <w:pPr>
              <w:numPr>
                <w:ilvl w:val="0"/>
                <w:numId w:val="4"/>
              </w:numPr>
              <w:spacing w:before="240" w:after="120"/>
              <w:ind w:left="255" w:hanging="181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Ευθύνη για την πα</w:t>
            </w:r>
            <w:bookmarkStart w:id="1" w:name="_GoBack"/>
            <w:bookmarkEnd w:id="1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ρακολούθηση της τήρησης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όπου απαιτείται, των μακροχρόνιων υποχρεώσεων από τους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ικαιούχους, σύμφωνα με το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ισχύον θεσμικό πλαίσιο.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</w:t>
            </w:r>
            <w:r w:rsidRPr="00561A2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ώστε ο Δικαιούχος να λαμβάνει πλήρως το συνολικό ποσό της οφειλόμενης επιλέξιμης δαπάνης, εντός των προθεσμιών που θέτει το θεσμικό πλαίσιο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Pr="00786A6E" w:rsidRDefault="0063656B" w:rsidP="00F51C75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786A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Επαληθεύσεις/ επιθεωρήσεις σε Ενδιάμεσους Φορείς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Εποπτεία και συντονισμός της διενέργειας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διοικητικ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ών</w:t>
            </w:r>
            <w:r w:rsidR="00DB3990" w:rsidRPr="00DB39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επιτόπιων 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επαληθεύσε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στους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νδιάμεσους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</w:t>
            </w:r>
            <w:r w:rsidRPr="00AB74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ορείς του ΕΠ,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ώστε να επιβεβαιωθεί η</w:t>
            </w:r>
            <w:r w:rsidRPr="00EE1C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ικανότητα να ασκ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ούν</w:t>
            </w:r>
            <w:r w:rsidR="00DB3990" w:rsidRPr="00DB39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ορθά </w:t>
            </w:r>
            <w:r w:rsidRPr="00EE1C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τα καθήκοντά του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EE1C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σύμφωνα με το ΣΔΕ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 w:rsidR="00DB3990" w:rsidRPr="00DB39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τη Μονάδα Α.</w:t>
            </w:r>
          </w:p>
          <w:p w:rsidR="0063656B" w:rsidRPr="00786A6E" w:rsidRDefault="0063656B" w:rsidP="00F51C75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786A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Παρακολούθηση πορισμάτων ελέγχου</w:t>
            </w:r>
          </w:p>
          <w:p w:rsidR="0063656B" w:rsidRPr="00186B59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για την </w:t>
            </w:r>
            <w:r w:rsidRPr="009D7F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υποβολή απαντήσεων σε σχετικά πορίσματα ελέγχου που διενεργούνται από τα αρμόδια εθνικά και </w:t>
            </w:r>
            <w:proofErr w:type="spellStart"/>
            <w:r w:rsidR="0073615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ενωσιακά</w:t>
            </w:r>
            <w:proofErr w:type="spellEnd"/>
            <w:r w:rsidRPr="009D7F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ελεγκτικά όργανα.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</w:t>
            </w:r>
            <w:r w:rsidRPr="009D7F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υνεργασία με την ΕΑΣ και την Αρχή Ελέγχου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εφόσον απαιτείται</w:t>
            </w:r>
            <w:r w:rsidRPr="009D7F2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παρακολούθηση της συμμόρφωσης με σχετικές συστάσεις σε συνέχεια πορισμάτων ελέγχων</w:t>
            </w:r>
            <w:r w:rsidRPr="00786A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Pr="00786A6E" w:rsidRDefault="0063656B" w:rsidP="003C1C0D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786A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Δημοσιονομικές Διορθώσεις/ Ανακτήσεις</w:t>
            </w:r>
          </w:p>
          <w:p w:rsidR="0063656B" w:rsidRPr="00101E91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01E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για </w:t>
            </w:r>
            <w:r w:rsidR="00584D47" w:rsidRPr="00101E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την έκδοση απόφασης δημοσιονομικής διόρθωσης</w:t>
            </w:r>
            <w:r w:rsidRPr="00101E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 w:rsidR="00DB3990" w:rsidRPr="00DB39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101E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για την έκδοση απόφασης ανάκτησης </w:t>
            </w:r>
            <w:proofErr w:type="spellStart"/>
            <w:r w:rsidRPr="00101E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αχρεωστήτως</w:t>
            </w:r>
            <w:proofErr w:type="spellEnd"/>
            <w:r w:rsidRPr="00101E9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καταβληθέντων ποσών. Ευθύνη για την παρακολούθηση της ανάκτησης των σχετικών ποσών.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561D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Στην περίπτωση διαπίστωσης παράβασης εθνικού ή κοινοτικού δικαίου,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έλεγχος</w:t>
            </w:r>
            <w:r w:rsidRPr="000561D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φακέλου για διαβίβαση στις αρμόδιες αρχές/ όργανα, σύμφωνα με το ΣΔΕ. </w:t>
            </w:r>
          </w:p>
          <w:p w:rsidR="0063656B" w:rsidRPr="00786A6E" w:rsidRDefault="0063656B" w:rsidP="00D67CE7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786A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Δήλωση Διαχείρισης. Ετήσια Σύνοψη.</w:t>
            </w:r>
          </w:p>
          <w:p w:rsidR="0063656B" w:rsidRPr="000561D9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κ</w:t>
            </w:r>
            <w:r w:rsidRPr="000561D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ατάρτιση της δήλωσης διαχείρισης και της ετήσιας σύνοψης. Συνεργασία με την Αρχή Πιστοποίησης και την Αρχή Ελέγχου.</w:t>
            </w:r>
          </w:p>
          <w:p w:rsidR="0063656B" w:rsidRPr="006807EC" w:rsidRDefault="009608A8" w:rsidP="00D67CE7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Κ</w:t>
            </w:r>
            <w:r w:rsidR="0063656B" w:rsidRPr="006807EC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αταγγελ</w:t>
            </w: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ίες</w:t>
            </w:r>
          </w:p>
          <w:p w:rsidR="009608A8" w:rsidRDefault="009608A8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Σημείο επαφής για τις καταγγελίες</w:t>
            </w:r>
            <w:r w:rsidRPr="00CB0F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που αφορούν σε συγχρηματοδοτούμενα έργα της προγραμματικής περιόδου 2014-2020, σύμφωνα με τα προβλεπόμενα στο ΣΔΕ.</w:t>
            </w:r>
          </w:p>
          <w:p w:rsidR="007F7810" w:rsidRPr="007F7810" w:rsidRDefault="007F7810" w:rsidP="007F781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τήρησης αρχείου καταγγελιών.</w:t>
            </w:r>
          </w:p>
          <w:p w:rsidR="0063656B" w:rsidRPr="00495F3D" w:rsidRDefault="0063656B" w:rsidP="00D74740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Διοίκηση και Οργάνωση</w:t>
            </w:r>
          </w:p>
          <w:p w:rsidR="0063656B" w:rsidRPr="00730E57" w:rsidRDefault="0063656B" w:rsidP="00D74740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30E5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του ρόλ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ου του Προϊσταμένου της ΕΥΔ.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63656B" w:rsidRDefault="0063656B" w:rsidP="00D74740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30E5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Σχεδιασμός, οργάνωση, συντονισμός εργασιών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 Μονάδας Β.</w:t>
            </w:r>
          </w:p>
          <w:p w:rsidR="0063656B" w:rsidRDefault="0063656B" w:rsidP="00D74740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Διοίκηση προσωπικού και κατανομή εργασιών στο προσωπικό της Μονάδας </w:t>
            </w:r>
            <w:r w:rsidRPr="005E303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λαμβάνοντας υπόψη τον όγκο της εργασίας και τις δεξιότητες των στελεχών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Default="0063656B" w:rsidP="00D74740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ιάγνωση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αποτύπωση των 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αναγκών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εκπαίδευσης/ κατάρτισης του προσωπικού της Μονάδας Β.</w:t>
            </w:r>
          </w:p>
          <w:p w:rsidR="0063656B" w:rsidRPr="005B263A" w:rsidRDefault="0063656B" w:rsidP="00E87BA9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Ά</w:t>
            </w:r>
            <w:r w:rsidRPr="005B263A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λλα Καθήκοντα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ΕΑΣ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ΕΕ και 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όλων των αναγκαίων πλ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ηροφοριών σε θέματα της Μονάδας Β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Pr="00EF2355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757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προς ΕΑΣ για λήψη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μέτρων βελτίωσης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συστήματος 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διαχείρισης και ελέγχου</w:t>
            </w:r>
            <w:r w:rsidR="00B42FD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Pr="00CB14A7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την 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εξασφάλιση υποστήριξης,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ειδικές περιπτώσεις (εξειδικευμένα ή πολύπλοκα έργα) και προσδιορισμό του είδους της εξωτερικής συνδρομής (χρησιμοποίηση εμπειρογνωμόνων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</w:t>
            </w:r>
            <w:r w:rsidR="00B42FD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λπ.).</w:t>
            </w:r>
          </w:p>
          <w:p w:rsidR="0063656B" w:rsidRPr="005F6CF9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F6C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τήρηση αρχείων των θεμάτων 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ας της Μονάδας Β. 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άλιση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συλλογή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έγκαιρη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καταχώρηση στο ΟΠΣ των απαραίτητων δεδομένων που αφορούν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στις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ες της Μονάδας Β. 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ακρίβεια, την ποιότητα και πληρότητα των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καταχωρίζει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 ΟΠΣ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την έκδοση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όλ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 α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παραίτητ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εγγράφων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αποφάσε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προβλέπονται από το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ΣΔΕ.</w:t>
            </w:r>
          </w:p>
          <w:p w:rsidR="0063656B" w:rsidRPr="009C33B6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εκ</w:t>
            </w:r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πόνησης μελετών, ερευνών, εμπειρογνωμοσυνών, εγχειριδίων διαδικασιών σχετικών με το </w:t>
            </w:r>
            <w:proofErr w:type="spellStart"/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αντικείμεν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οτης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Μονάδας Β.</w:t>
            </w:r>
          </w:p>
          <w:p w:rsidR="0063656B" w:rsidRDefault="0063656B" w:rsidP="009C33B6">
            <w:pPr>
              <w:numPr>
                <w:ilvl w:val="0"/>
                <w:numId w:val="4"/>
              </w:numPr>
              <w:spacing w:after="120"/>
              <w:ind w:left="255" w:hanging="181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7474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 xml:space="preserve">Συμμετοχή σε Θεματικά Δίκτυα, καθώς και σε Επιτροπές και Ομάδες Εργασίας που συγκροτούνται, κατά περίπτωση, στο πλαίσιο λειτουργίας της ΕΥ και του ΕΣΠΑ.  </w:t>
            </w:r>
          </w:p>
          <w:p w:rsidR="0063656B" w:rsidRPr="008C4F2E" w:rsidRDefault="0063656B" w:rsidP="00F829B0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7474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συναντήσεις.</w:t>
            </w:r>
          </w:p>
        </w:tc>
      </w:tr>
    </w:tbl>
    <w:p w:rsidR="0063656B" w:rsidRDefault="0063656B" w:rsidP="00763ED3"/>
    <w:tbl>
      <w:tblPr>
        <w:tblW w:w="515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3656B" w:rsidRPr="009550B1" w:rsidTr="00CB4ABB">
        <w:trPr>
          <w:trHeight w:val="4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8080"/>
          </w:tcPr>
          <w:p w:rsidR="0063656B" w:rsidRPr="009550B1" w:rsidRDefault="0063656B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63656B" w:rsidRPr="00371252" w:rsidTr="00CB4ABB">
        <w:trPr>
          <w:trHeight w:val="2003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3656B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Υπηρεσίες Εθνικής Αρχής Συντονισμού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Αρχή Πιστοποίησης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Γενική Γραμματεία Καταπολέμησης της Διαφθοράς, που έχει οριστεί και ως η αρμόδια Εθνική Αρχή για το Συντονισμό της καταπολέμησης της απάτης </w:t>
            </w:r>
            <w:r w:rsidRPr="00A9779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AFCOS</w:t>
            </w:r>
            <w:r w:rsidRPr="00A9779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Φορείς χρηματοδότησης, ΔΔΕ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Ελεγκτικές Αρχές/ Φορείς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ΕΥΔ</w:t>
            </w:r>
          </w:p>
          <w:p w:rsidR="0063656B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757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Ενδιάμεσοι Φορείς</w:t>
            </w:r>
          </w:p>
          <w:p w:rsidR="0063656B" w:rsidRPr="008C4F2E" w:rsidRDefault="0063656B" w:rsidP="00F829B0">
            <w:pPr>
              <w:numPr>
                <w:ilvl w:val="0"/>
                <w:numId w:val="4"/>
              </w:numPr>
              <w:spacing w:before="40" w:after="4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Δικαιούχοι </w:t>
            </w:r>
          </w:p>
        </w:tc>
      </w:tr>
    </w:tbl>
    <w:p w:rsidR="0063656B" w:rsidRDefault="0063656B" w:rsidP="00763ED3"/>
    <w:tbl>
      <w:tblPr>
        <w:tblW w:w="515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3656B" w:rsidRPr="009550B1" w:rsidTr="00CB4ABB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008080"/>
            <w:noWrap/>
            <w:vAlign w:val="center"/>
          </w:tcPr>
          <w:p w:rsidR="0063656B" w:rsidRPr="00E33FF9" w:rsidRDefault="0063656B" w:rsidP="001177C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63656B" w:rsidRPr="00F83C07" w:rsidTr="00CB4ABB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3656B" w:rsidRPr="00F83C07" w:rsidRDefault="0063656B" w:rsidP="001177C1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63656B" w:rsidRPr="00F83C07" w:rsidTr="00383202">
        <w:trPr>
          <w:trHeight w:val="5287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3656B" w:rsidRPr="001418E0" w:rsidRDefault="0063656B" w:rsidP="00383202">
            <w:pPr>
              <w:spacing w:before="40" w:after="4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A6CB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63656B" w:rsidRPr="001B3C49" w:rsidRDefault="0063656B" w:rsidP="00CB4AB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1B3C49">
              <w:rPr>
                <w:rFonts w:ascii="Tahoma" w:hAnsi="Tahoma" w:cs="Tahoma"/>
                <w:sz w:val="18"/>
                <w:szCs w:val="18"/>
              </w:rPr>
              <w:t>1. Πτυχίο ή δίπλωμα Α.Ε.Ι</w:t>
            </w:r>
            <w:r w:rsidRPr="00EE736B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sz w:val="18"/>
                <w:szCs w:val="18"/>
              </w:rPr>
              <w:t>ΠΕ</w:t>
            </w:r>
            <w:r w:rsidR="00E33FF9" w:rsidRPr="00E33FF9">
              <w:rPr>
                <w:rFonts w:ascii="Tahoma" w:hAnsi="Tahoma" w:cs="Tahoma"/>
                <w:sz w:val="18"/>
                <w:szCs w:val="18"/>
              </w:rPr>
              <w:t>/</w:t>
            </w:r>
            <w:r w:rsidR="00E33FF9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EE736B">
              <w:rPr>
                <w:rFonts w:ascii="Tahoma" w:hAnsi="Tahoma" w:cs="Tahoma"/>
                <w:sz w:val="18"/>
                <w:szCs w:val="18"/>
              </w:rPr>
              <w:t>)</w:t>
            </w:r>
            <w:r w:rsidRPr="001B3C49">
              <w:rPr>
                <w:rFonts w:ascii="Tahoma" w:hAnsi="Tahoma" w:cs="Tahoma"/>
                <w:sz w:val="18"/>
                <w:szCs w:val="18"/>
              </w:rPr>
              <w:t xml:space="preserve"> της ημεδαπής ή ισότιμου διπλώματος ιδρύματος της αλλοδαπής</w:t>
            </w:r>
          </w:p>
          <w:p w:rsidR="0063656B" w:rsidRPr="001B3C49" w:rsidRDefault="0063656B" w:rsidP="00CB4AB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1B3C49">
              <w:rPr>
                <w:rFonts w:ascii="Tahoma" w:hAnsi="Tahoma" w:cs="Tahoma"/>
                <w:sz w:val="18"/>
                <w:szCs w:val="18"/>
              </w:rPr>
              <w:t xml:space="preserve">2. Επαγγελματική εμπειρία </w:t>
            </w:r>
          </w:p>
          <w:p w:rsidR="0063656B" w:rsidRPr="001B3C49" w:rsidRDefault="0063656B" w:rsidP="00CB4ABB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40" w:after="40"/>
              <w:ind w:hanging="184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B3C49">
              <w:rPr>
                <w:rFonts w:ascii="Tahoma" w:hAnsi="Tahoma" w:cs="Tahoma"/>
                <w:sz w:val="18"/>
                <w:szCs w:val="18"/>
              </w:rPr>
              <w:t>8ετής για τους κατόχους πτυχίου ή διπλώματος της ημεδαπής ή ισότιμου ιδρύματος της αλλοδαπής</w:t>
            </w:r>
          </w:p>
          <w:p w:rsidR="0063656B" w:rsidRPr="001B3C49" w:rsidRDefault="0063656B" w:rsidP="00CB4ABB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40" w:after="40"/>
              <w:ind w:hanging="184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1B3C49">
              <w:rPr>
                <w:rFonts w:ascii="Tahoma" w:hAnsi="Tahoma" w:cs="Tahoma"/>
                <w:sz w:val="18"/>
                <w:szCs w:val="18"/>
              </w:rPr>
              <w:t>ετής για τους κατόχους μεταπτυχιακού τίτλου της ημεδαπής ή αναγνωρισμένου όμοιου τίτλου της αλλοδαπής ετήσιας τουλάχιστον φοίτησης και</w:t>
            </w:r>
            <w:r>
              <w:rPr>
                <w:rFonts w:ascii="Tahoma" w:hAnsi="Tahoma" w:cs="Tahoma"/>
                <w:sz w:val="18"/>
                <w:szCs w:val="18"/>
              </w:rPr>
              <w:t xml:space="preserve"> για</w:t>
            </w:r>
            <w:r w:rsidRPr="001B3C49">
              <w:rPr>
                <w:rFonts w:ascii="Tahoma" w:hAnsi="Tahoma" w:cs="Tahoma"/>
                <w:sz w:val="18"/>
                <w:szCs w:val="18"/>
              </w:rPr>
              <w:t xml:space="preserve"> τους απόφοιτους της Εθνικής Σχολής Δημόσιας Διοίκησης</w:t>
            </w:r>
          </w:p>
          <w:p w:rsidR="0063656B" w:rsidRPr="001B3C49" w:rsidRDefault="0063656B" w:rsidP="00CB4ABB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40" w:after="40"/>
              <w:ind w:hanging="184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1B3C49">
              <w:rPr>
                <w:rFonts w:ascii="Tahoma" w:hAnsi="Tahoma" w:cs="Tahoma"/>
                <w:sz w:val="18"/>
                <w:szCs w:val="18"/>
              </w:rPr>
              <w:t>ετής για τους κατόχους διδακτορικού διπλώματος της ημεδαπής ή ισότιμου της αλλοδαπής</w:t>
            </w:r>
          </w:p>
          <w:p w:rsidR="0063656B" w:rsidRPr="00494A11" w:rsidRDefault="0063656B" w:rsidP="00CB4ABB">
            <w:pPr>
              <w:spacing w:before="40" w:after="40"/>
              <w:ind w:left="612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  <w:p w:rsidR="0063656B" w:rsidRPr="001418E0" w:rsidRDefault="0063656B" w:rsidP="00383202">
            <w:pPr>
              <w:spacing w:before="40" w:after="4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A6CB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63656B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 xml:space="preserve">Καλή γνώση ή/και εμπειρία επί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>
              <w:rPr>
                <w:rFonts w:ascii="Tahoma" w:hAnsi="Tahoma" w:cs="Tahoma"/>
                <w:sz w:val="18"/>
                <w:szCs w:val="18"/>
              </w:rPr>
              <w:t>στα θεματικά αντικείμενα του</w:t>
            </w:r>
            <w:r w:rsidRPr="007D79B3">
              <w:rPr>
                <w:rFonts w:ascii="Tahoma" w:hAnsi="Tahoma" w:cs="Tahoma"/>
                <w:sz w:val="18"/>
                <w:szCs w:val="18"/>
              </w:rPr>
              <w:t xml:space="preserve"> τομέα ευθύνης της Ε.Υ.</w:t>
            </w:r>
          </w:p>
          <w:p w:rsidR="0063656B" w:rsidRPr="00457D39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Γνώση ή/και εμπειρία του θεσμικού πλαισίου Δημοσίων Συμβάσεων</w:t>
            </w:r>
          </w:p>
          <w:p w:rsidR="0063656B" w:rsidRPr="001B3C49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>Ικανότητα διοίκησης και οργάνωσης</w:t>
            </w:r>
          </w:p>
          <w:p w:rsidR="0063656B" w:rsidRPr="001B3C49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63656B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>Ικανότητα παρακίνησης υφισταμένων και εστίασης στο αποτέλεσμα</w:t>
            </w:r>
          </w:p>
          <w:p w:rsidR="0063656B" w:rsidRPr="00347097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>Ικανότητα επικοινωνίας και ευελιξίας</w:t>
            </w:r>
          </w:p>
          <w:p w:rsidR="0063656B" w:rsidRPr="001B3C49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>Καλή γνώση μίας ξένης κοινοτικής γλώσσας</w:t>
            </w:r>
          </w:p>
          <w:p w:rsidR="0063656B" w:rsidRPr="001B3C49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>Ικανότητα χρήσης εφαρμογών αυτοματισμού γραφείου, υπηρεσιών Internet</w:t>
            </w:r>
          </w:p>
          <w:p w:rsidR="0063656B" w:rsidRPr="007D79B3" w:rsidRDefault="0063656B" w:rsidP="00CB4ABB">
            <w:pPr>
              <w:numPr>
                <w:ilvl w:val="1"/>
                <w:numId w:val="2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D79B3">
              <w:rPr>
                <w:rFonts w:ascii="Tahoma" w:hAnsi="Tahoma" w:cs="Tahoma"/>
                <w:sz w:val="18"/>
                <w:szCs w:val="18"/>
              </w:rPr>
              <w:t>Ικανότητα αντίληψης ηλεκτρονικών εφαρμογών παρακολούθησης διαδικασιών δημόσιου τομέα (π.χ. ΟΠΣ, ΠΣΚΕ -Πληροφοριακό σύστημα κρατικών ενισχύσεων)</w:t>
            </w:r>
          </w:p>
          <w:p w:rsidR="0063656B" w:rsidRPr="00F97846" w:rsidRDefault="0063656B" w:rsidP="00CB4ABB">
            <w:pPr>
              <w:pStyle w:val="HTMLPreformatted"/>
              <w:spacing w:before="40" w:after="40"/>
              <w:ind w:left="360"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63656B" w:rsidRPr="00F83C07" w:rsidTr="00CB4ABB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3656B" w:rsidRPr="00F83C07" w:rsidRDefault="0063656B" w:rsidP="001177C1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63656B" w:rsidRPr="00371252" w:rsidTr="00CB4ABB">
        <w:trPr>
          <w:trHeight w:val="84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3656B" w:rsidRPr="0096253E" w:rsidRDefault="0063656B" w:rsidP="00CB4ABB">
            <w:pPr>
              <w:numPr>
                <w:ilvl w:val="0"/>
                <w:numId w:val="12"/>
              </w:numPr>
              <w:spacing w:before="40" w:after="4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96253E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της Ε.Υ. πεδίο </w:t>
            </w:r>
          </w:p>
          <w:p w:rsidR="0063656B" w:rsidRPr="0096253E" w:rsidRDefault="0063656B" w:rsidP="00CB4ABB">
            <w:pPr>
              <w:numPr>
                <w:ilvl w:val="0"/>
                <w:numId w:val="12"/>
              </w:numPr>
              <w:spacing w:before="40" w:after="4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96253E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  <w:p w:rsidR="0063656B" w:rsidRPr="0096253E" w:rsidRDefault="0063656B" w:rsidP="00CB4ABB">
            <w:pPr>
              <w:numPr>
                <w:ilvl w:val="0"/>
                <w:numId w:val="12"/>
              </w:numPr>
              <w:spacing w:before="40" w:after="4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96253E">
              <w:rPr>
                <w:rFonts w:ascii="Tahoma" w:hAnsi="Tahoma" w:cs="Tahoma"/>
                <w:sz w:val="18"/>
                <w:szCs w:val="18"/>
              </w:rPr>
              <w:t>Άσκηση αρμοδιοτήτων διοίκησης σε οποιοδήποτε επίπεδο</w:t>
            </w:r>
          </w:p>
        </w:tc>
      </w:tr>
    </w:tbl>
    <w:p w:rsidR="0063656B" w:rsidRPr="00DB3990" w:rsidRDefault="0063656B"/>
    <w:sectPr w:rsidR="0063656B" w:rsidRPr="00DB3990" w:rsidSect="009C33B6">
      <w:headerReference w:type="default" r:id="rId8"/>
      <w:footerReference w:type="default" r:id="rId9"/>
      <w:pgSz w:w="11906" w:h="16838"/>
      <w:pgMar w:top="1440" w:right="1247" w:bottom="1440" w:left="1247" w:header="709" w:footer="2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CE" w:rsidRDefault="00323ECE" w:rsidP="00CA398D">
      <w:r>
        <w:separator/>
      </w:r>
    </w:p>
  </w:endnote>
  <w:endnote w:type="continuationSeparator" w:id="0">
    <w:p w:rsidR="00323ECE" w:rsidRDefault="00323ECE" w:rsidP="00CA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9C33B6" w:rsidTr="005E6497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9B10E0" w:rsidRDefault="009B10E0" w:rsidP="009B10E0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9C33B6" w:rsidRDefault="009B10E0" w:rsidP="00952651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952651">
            <w:rPr>
              <w:rFonts w:ascii="Tahoma" w:hAnsi="Tahoma" w:cs="Tahoma"/>
              <w:bCs/>
              <w:sz w:val="16"/>
              <w:szCs w:val="16"/>
              <w:lang w:val="en-US"/>
            </w:rPr>
            <w:t>30.10.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C33B6" w:rsidRDefault="009C33B6" w:rsidP="005E6497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9B79F3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9B79F3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952651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="009B79F3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C33B6" w:rsidRDefault="00952651" w:rsidP="005E6497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.75pt;height:29.25pt">
                <v:imagedata r:id="rId1" o:title="espa1420_logo_rgb"/>
              </v:shape>
            </w:pict>
          </w:r>
        </w:p>
      </w:tc>
    </w:tr>
  </w:tbl>
  <w:p w:rsidR="009C33B6" w:rsidRPr="009C33B6" w:rsidRDefault="009C33B6" w:rsidP="009C33B6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CE" w:rsidRDefault="00323ECE" w:rsidP="00CA398D">
      <w:r>
        <w:separator/>
      </w:r>
    </w:p>
  </w:footnote>
  <w:footnote w:type="continuationSeparator" w:id="0">
    <w:p w:rsidR="00323ECE" w:rsidRDefault="00323ECE" w:rsidP="00CA3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53" w:type="pct"/>
      <w:tblInd w:w="108" w:type="dxa"/>
      <w:tblBorders>
        <w:top w:val="single" w:sz="8" w:space="0" w:color="auto"/>
        <w:bottom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9923"/>
    </w:tblGrid>
    <w:tr w:rsidR="0063656B" w:rsidRPr="00BB0285" w:rsidTr="00CB4ABB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008080"/>
        </w:tcPr>
        <w:p w:rsidR="0063656B" w:rsidRPr="00BB0285" w:rsidRDefault="0063656B" w:rsidP="00874615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B2345A">
            <w:rPr>
              <w:rFonts w:ascii="Tahoma" w:hAnsi="Tahoma" w:cs="Tahoma"/>
              <w:b/>
              <w:color w:val="FFFFFF"/>
              <w:sz w:val="16"/>
              <w:szCs w:val="16"/>
            </w:rPr>
            <w:t>ΠΕΡΙΓΡΑΜΜΑΤΑ ΕΡΓΑΣΙΑΣ για τις ΕΥΔ των ΠΕΠ 2014-2020</w:t>
          </w:r>
        </w:p>
      </w:tc>
    </w:tr>
  </w:tbl>
  <w:p w:rsidR="0063656B" w:rsidRPr="00E47ADD" w:rsidRDefault="0063656B" w:rsidP="00CA398D">
    <w:pPr>
      <w:rPr>
        <w:rFonts w:ascii="Tahoma" w:hAnsi="Tahoma" w:cs="Tahoma"/>
        <w:sz w:val="16"/>
        <w:szCs w:val="16"/>
      </w:rPr>
    </w:pPr>
  </w:p>
  <w:tbl>
    <w:tblPr>
      <w:tblW w:w="5153" w:type="pct"/>
      <w:tblInd w:w="108" w:type="dxa"/>
      <w:tblBorders>
        <w:top w:val="single" w:sz="4" w:space="0" w:color="auto"/>
        <w:bottom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9923"/>
    </w:tblGrid>
    <w:tr w:rsidR="0063656B" w:rsidRPr="00BB0285" w:rsidTr="00CB4ABB">
      <w:trPr>
        <w:trHeight w:val="224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008080"/>
          <w:noWrap/>
          <w:vAlign w:val="center"/>
        </w:tcPr>
        <w:p w:rsidR="0063656B" w:rsidRPr="00BB0285" w:rsidRDefault="0063656B" w:rsidP="00040802">
          <w:pPr>
            <w:spacing w:before="60" w:after="60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BB0285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 w:rsidR="00040802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7</w:t>
          </w:r>
          <w:r w:rsidRPr="00BB0285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Προϊστάμενος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Μονάδας Β                                                        </w:t>
          </w:r>
          <w:r w:rsidRPr="00F829B0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2β</w:t>
          </w:r>
        </w:p>
      </w:tc>
    </w:tr>
  </w:tbl>
  <w:p w:rsidR="0063656B" w:rsidRDefault="006365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3AF7"/>
    <w:multiLevelType w:val="hybridMultilevel"/>
    <w:tmpl w:val="B27E270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7A87934"/>
    <w:multiLevelType w:val="hybridMultilevel"/>
    <w:tmpl w:val="D9F62CE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E576021"/>
    <w:multiLevelType w:val="hybridMultilevel"/>
    <w:tmpl w:val="52AE3DA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E058F5"/>
    <w:multiLevelType w:val="hybridMultilevel"/>
    <w:tmpl w:val="F7A62E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E4644C"/>
    <w:multiLevelType w:val="hybridMultilevel"/>
    <w:tmpl w:val="F55EB06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101F55"/>
    <w:multiLevelType w:val="hybridMultilevel"/>
    <w:tmpl w:val="8BD625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BD7E1D"/>
    <w:multiLevelType w:val="hybridMultilevel"/>
    <w:tmpl w:val="E6B2EE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6C12D5"/>
    <w:multiLevelType w:val="hybridMultilevel"/>
    <w:tmpl w:val="72EC41D2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E173744"/>
    <w:multiLevelType w:val="hybridMultilevel"/>
    <w:tmpl w:val="EF541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1C4C73"/>
    <w:multiLevelType w:val="hybridMultilevel"/>
    <w:tmpl w:val="4CD4F8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F337FAF"/>
    <w:multiLevelType w:val="hybridMultilevel"/>
    <w:tmpl w:val="141A8E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0"/>
  </w:num>
  <w:num w:numId="5">
    <w:abstractNumId w:val="9"/>
  </w:num>
  <w:num w:numId="6">
    <w:abstractNumId w:val="13"/>
  </w:num>
  <w:num w:numId="7">
    <w:abstractNumId w:val="3"/>
  </w:num>
  <w:num w:numId="8">
    <w:abstractNumId w:val="0"/>
  </w:num>
  <w:num w:numId="9">
    <w:abstractNumId w:val="4"/>
  </w:num>
  <w:num w:numId="10">
    <w:abstractNumId w:val="6"/>
  </w:num>
  <w:num w:numId="11">
    <w:abstractNumId w:val="8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63ED3"/>
    <w:rsid w:val="000215BB"/>
    <w:rsid w:val="00023B79"/>
    <w:rsid w:val="00024829"/>
    <w:rsid w:val="000260F8"/>
    <w:rsid w:val="000339A9"/>
    <w:rsid w:val="00040802"/>
    <w:rsid w:val="000561D9"/>
    <w:rsid w:val="0006694F"/>
    <w:rsid w:val="00081CEB"/>
    <w:rsid w:val="00082641"/>
    <w:rsid w:val="000A01B7"/>
    <w:rsid w:val="000A4FC7"/>
    <w:rsid w:val="000B3003"/>
    <w:rsid w:val="000D24B6"/>
    <w:rsid w:val="000E7485"/>
    <w:rsid w:val="000F6540"/>
    <w:rsid w:val="00101E91"/>
    <w:rsid w:val="001045E4"/>
    <w:rsid w:val="001177C1"/>
    <w:rsid w:val="001331DA"/>
    <w:rsid w:val="0013735B"/>
    <w:rsid w:val="00137848"/>
    <w:rsid w:val="001418E0"/>
    <w:rsid w:val="00142914"/>
    <w:rsid w:val="00163284"/>
    <w:rsid w:val="00186B59"/>
    <w:rsid w:val="001876F1"/>
    <w:rsid w:val="00190682"/>
    <w:rsid w:val="001962EE"/>
    <w:rsid w:val="001B3C49"/>
    <w:rsid w:val="001B5CFB"/>
    <w:rsid w:val="001C7C18"/>
    <w:rsid w:val="001E2643"/>
    <w:rsid w:val="001F06B1"/>
    <w:rsid w:val="001F60A8"/>
    <w:rsid w:val="00203DBA"/>
    <w:rsid w:val="00234A42"/>
    <w:rsid w:val="00242C8F"/>
    <w:rsid w:val="0024747E"/>
    <w:rsid w:val="002547D0"/>
    <w:rsid w:val="0026593A"/>
    <w:rsid w:val="00266E4F"/>
    <w:rsid w:val="00272082"/>
    <w:rsid w:val="00284B2A"/>
    <w:rsid w:val="002A3ABB"/>
    <w:rsid w:val="002B4B4B"/>
    <w:rsid w:val="002B7E02"/>
    <w:rsid w:val="002C1BDC"/>
    <w:rsid w:val="002C1E2E"/>
    <w:rsid w:val="002C4CCC"/>
    <w:rsid w:val="002D1D0A"/>
    <w:rsid w:val="00301653"/>
    <w:rsid w:val="00317BB3"/>
    <w:rsid w:val="00323ECE"/>
    <w:rsid w:val="00332B79"/>
    <w:rsid w:val="0033533E"/>
    <w:rsid w:val="00342FAD"/>
    <w:rsid w:val="00347097"/>
    <w:rsid w:val="00352D03"/>
    <w:rsid w:val="003554F8"/>
    <w:rsid w:val="003636E8"/>
    <w:rsid w:val="003657D6"/>
    <w:rsid w:val="00371252"/>
    <w:rsid w:val="003802A6"/>
    <w:rsid w:val="00383202"/>
    <w:rsid w:val="003B31A2"/>
    <w:rsid w:val="003B4586"/>
    <w:rsid w:val="003C1C0D"/>
    <w:rsid w:val="003D0959"/>
    <w:rsid w:val="003E00E0"/>
    <w:rsid w:val="003E2DAB"/>
    <w:rsid w:val="003E6B87"/>
    <w:rsid w:val="003F573F"/>
    <w:rsid w:val="003F5BF2"/>
    <w:rsid w:val="003F76C6"/>
    <w:rsid w:val="0040747D"/>
    <w:rsid w:val="00414424"/>
    <w:rsid w:val="004237B2"/>
    <w:rsid w:val="004323D3"/>
    <w:rsid w:val="0043587C"/>
    <w:rsid w:val="00457D39"/>
    <w:rsid w:val="00461FFB"/>
    <w:rsid w:val="00462E42"/>
    <w:rsid w:val="00462FC1"/>
    <w:rsid w:val="00485CE1"/>
    <w:rsid w:val="00492978"/>
    <w:rsid w:val="00494A11"/>
    <w:rsid w:val="00495F3D"/>
    <w:rsid w:val="004A27BF"/>
    <w:rsid w:val="004A2889"/>
    <w:rsid w:val="004D190B"/>
    <w:rsid w:val="004E01D8"/>
    <w:rsid w:val="004E1352"/>
    <w:rsid w:val="004E226A"/>
    <w:rsid w:val="004E2F01"/>
    <w:rsid w:val="004E30E4"/>
    <w:rsid w:val="004E57AC"/>
    <w:rsid w:val="0050008B"/>
    <w:rsid w:val="005033C4"/>
    <w:rsid w:val="005211E5"/>
    <w:rsid w:val="00521642"/>
    <w:rsid w:val="00540ED8"/>
    <w:rsid w:val="00541B16"/>
    <w:rsid w:val="00561A2A"/>
    <w:rsid w:val="00562E06"/>
    <w:rsid w:val="00564A84"/>
    <w:rsid w:val="00580810"/>
    <w:rsid w:val="00584D47"/>
    <w:rsid w:val="00597F78"/>
    <w:rsid w:val="005B263A"/>
    <w:rsid w:val="005C7C11"/>
    <w:rsid w:val="005D4B60"/>
    <w:rsid w:val="005E303C"/>
    <w:rsid w:val="005E42BB"/>
    <w:rsid w:val="005E4E4B"/>
    <w:rsid w:val="005F055B"/>
    <w:rsid w:val="005F508F"/>
    <w:rsid w:val="005F54ED"/>
    <w:rsid w:val="005F6CF9"/>
    <w:rsid w:val="00601490"/>
    <w:rsid w:val="00613A10"/>
    <w:rsid w:val="00615E7E"/>
    <w:rsid w:val="00617A8E"/>
    <w:rsid w:val="00634185"/>
    <w:rsid w:val="0063656B"/>
    <w:rsid w:val="00642488"/>
    <w:rsid w:val="006757C3"/>
    <w:rsid w:val="006807EC"/>
    <w:rsid w:val="006850C2"/>
    <w:rsid w:val="00697660"/>
    <w:rsid w:val="006A6CB1"/>
    <w:rsid w:val="006B0B48"/>
    <w:rsid w:val="006B56F8"/>
    <w:rsid w:val="006C12BF"/>
    <w:rsid w:val="006E5525"/>
    <w:rsid w:val="006E5545"/>
    <w:rsid w:val="006F6690"/>
    <w:rsid w:val="00701435"/>
    <w:rsid w:val="0071412E"/>
    <w:rsid w:val="0071766E"/>
    <w:rsid w:val="00723499"/>
    <w:rsid w:val="00730E57"/>
    <w:rsid w:val="0073432F"/>
    <w:rsid w:val="00736150"/>
    <w:rsid w:val="00740A2A"/>
    <w:rsid w:val="007626D4"/>
    <w:rsid w:val="00763ED3"/>
    <w:rsid w:val="0077507E"/>
    <w:rsid w:val="00786A6E"/>
    <w:rsid w:val="0078722C"/>
    <w:rsid w:val="007B01CD"/>
    <w:rsid w:val="007B3B5C"/>
    <w:rsid w:val="007C1983"/>
    <w:rsid w:val="007D79B3"/>
    <w:rsid w:val="007F7810"/>
    <w:rsid w:val="0080448F"/>
    <w:rsid w:val="00815585"/>
    <w:rsid w:val="00816D8A"/>
    <w:rsid w:val="00825612"/>
    <w:rsid w:val="00862431"/>
    <w:rsid w:val="00872102"/>
    <w:rsid w:val="00874615"/>
    <w:rsid w:val="0087492F"/>
    <w:rsid w:val="008A419F"/>
    <w:rsid w:val="008A76A4"/>
    <w:rsid w:val="008B0B19"/>
    <w:rsid w:val="008B4D99"/>
    <w:rsid w:val="008C2BD9"/>
    <w:rsid w:val="008C4F2E"/>
    <w:rsid w:val="008E2B4A"/>
    <w:rsid w:val="00903B91"/>
    <w:rsid w:val="00926090"/>
    <w:rsid w:val="0093207D"/>
    <w:rsid w:val="009352E0"/>
    <w:rsid w:val="00952651"/>
    <w:rsid w:val="00954DCA"/>
    <w:rsid w:val="009550B1"/>
    <w:rsid w:val="009567A9"/>
    <w:rsid w:val="00957AB6"/>
    <w:rsid w:val="009608A8"/>
    <w:rsid w:val="00961FD8"/>
    <w:rsid w:val="0096253E"/>
    <w:rsid w:val="009630E7"/>
    <w:rsid w:val="00977E75"/>
    <w:rsid w:val="009908C9"/>
    <w:rsid w:val="009A5A45"/>
    <w:rsid w:val="009B10E0"/>
    <w:rsid w:val="009B4C94"/>
    <w:rsid w:val="009B72B6"/>
    <w:rsid w:val="009B79F3"/>
    <w:rsid w:val="009C33B6"/>
    <w:rsid w:val="009C7FA5"/>
    <w:rsid w:val="009D6627"/>
    <w:rsid w:val="009D7F28"/>
    <w:rsid w:val="009F0A5D"/>
    <w:rsid w:val="009F6CFC"/>
    <w:rsid w:val="00A07EDF"/>
    <w:rsid w:val="00A34DD7"/>
    <w:rsid w:val="00A41B88"/>
    <w:rsid w:val="00A61541"/>
    <w:rsid w:val="00A72673"/>
    <w:rsid w:val="00A740AB"/>
    <w:rsid w:val="00A77119"/>
    <w:rsid w:val="00A81012"/>
    <w:rsid w:val="00A83E4A"/>
    <w:rsid w:val="00A851FA"/>
    <w:rsid w:val="00A90B5D"/>
    <w:rsid w:val="00A97388"/>
    <w:rsid w:val="00A9779D"/>
    <w:rsid w:val="00AA28BA"/>
    <w:rsid w:val="00AB396D"/>
    <w:rsid w:val="00AB74D3"/>
    <w:rsid w:val="00AE6EF5"/>
    <w:rsid w:val="00B03025"/>
    <w:rsid w:val="00B2345A"/>
    <w:rsid w:val="00B24700"/>
    <w:rsid w:val="00B354E3"/>
    <w:rsid w:val="00B42FD7"/>
    <w:rsid w:val="00B5453C"/>
    <w:rsid w:val="00B61233"/>
    <w:rsid w:val="00B7227E"/>
    <w:rsid w:val="00B86633"/>
    <w:rsid w:val="00B95834"/>
    <w:rsid w:val="00B9724A"/>
    <w:rsid w:val="00BA77C3"/>
    <w:rsid w:val="00BB0285"/>
    <w:rsid w:val="00BC4E93"/>
    <w:rsid w:val="00BD4D70"/>
    <w:rsid w:val="00BE4630"/>
    <w:rsid w:val="00BE650B"/>
    <w:rsid w:val="00C1319A"/>
    <w:rsid w:val="00C1512E"/>
    <w:rsid w:val="00C31872"/>
    <w:rsid w:val="00C32988"/>
    <w:rsid w:val="00C454A4"/>
    <w:rsid w:val="00C462D6"/>
    <w:rsid w:val="00C67A38"/>
    <w:rsid w:val="00C71674"/>
    <w:rsid w:val="00C80DC4"/>
    <w:rsid w:val="00C83661"/>
    <w:rsid w:val="00C844B7"/>
    <w:rsid w:val="00C8658F"/>
    <w:rsid w:val="00CA398D"/>
    <w:rsid w:val="00CA3C79"/>
    <w:rsid w:val="00CA3CAE"/>
    <w:rsid w:val="00CB14A7"/>
    <w:rsid w:val="00CB48AF"/>
    <w:rsid w:val="00CB4ABB"/>
    <w:rsid w:val="00CB683E"/>
    <w:rsid w:val="00CD63A8"/>
    <w:rsid w:val="00CF73C0"/>
    <w:rsid w:val="00D007DF"/>
    <w:rsid w:val="00D104A7"/>
    <w:rsid w:val="00D478A7"/>
    <w:rsid w:val="00D61F7A"/>
    <w:rsid w:val="00D63145"/>
    <w:rsid w:val="00D67CE7"/>
    <w:rsid w:val="00D74740"/>
    <w:rsid w:val="00D87FB8"/>
    <w:rsid w:val="00DA3FF3"/>
    <w:rsid w:val="00DA4FB1"/>
    <w:rsid w:val="00DA7FED"/>
    <w:rsid w:val="00DB3990"/>
    <w:rsid w:val="00DB6546"/>
    <w:rsid w:val="00DC47D8"/>
    <w:rsid w:val="00DD55AA"/>
    <w:rsid w:val="00DE4276"/>
    <w:rsid w:val="00DE5591"/>
    <w:rsid w:val="00DE6189"/>
    <w:rsid w:val="00E01874"/>
    <w:rsid w:val="00E0306C"/>
    <w:rsid w:val="00E14BB3"/>
    <w:rsid w:val="00E33FF9"/>
    <w:rsid w:val="00E435C7"/>
    <w:rsid w:val="00E458D6"/>
    <w:rsid w:val="00E47ADD"/>
    <w:rsid w:val="00E5079C"/>
    <w:rsid w:val="00E52C17"/>
    <w:rsid w:val="00E57943"/>
    <w:rsid w:val="00E67F75"/>
    <w:rsid w:val="00E74A30"/>
    <w:rsid w:val="00E7590E"/>
    <w:rsid w:val="00E76C65"/>
    <w:rsid w:val="00E81173"/>
    <w:rsid w:val="00E87BA9"/>
    <w:rsid w:val="00E90561"/>
    <w:rsid w:val="00E92A9E"/>
    <w:rsid w:val="00E93205"/>
    <w:rsid w:val="00EA1325"/>
    <w:rsid w:val="00EA1E23"/>
    <w:rsid w:val="00EB1E7A"/>
    <w:rsid w:val="00ED47B4"/>
    <w:rsid w:val="00ED6457"/>
    <w:rsid w:val="00EE1C28"/>
    <w:rsid w:val="00EE1D09"/>
    <w:rsid w:val="00EE64D1"/>
    <w:rsid w:val="00EE736B"/>
    <w:rsid w:val="00EF2355"/>
    <w:rsid w:val="00EF2565"/>
    <w:rsid w:val="00F11959"/>
    <w:rsid w:val="00F12FA5"/>
    <w:rsid w:val="00F13C53"/>
    <w:rsid w:val="00F260E5"/>
    <w:rsid w:val="00F27C0F"/>
    <w:rsid w:val="00F40948"/>
    <w:rsid w:val="00F51C75"/>
    <w:rsid w:val="00F63A8C"/>
    <w:rsid w:val="00F80FFA"/>
    <w:rsid w:val="00F829B0"/>
    <w:rsid w:val="00F83C07"/>
    <w:rsid w:val="00F97846"/>
    <w:rsid w:val="00FA1475"/>
    <w:rsid w:val="00FA4EB4"/>
    <w:rsid w:val="00FA6457"/>
    <w:rsid w:val="00FA6AF3"/>
    <w:rsid w:val="00FB54B6"/>
    <w:rsid w:val="00FC0BAE"/>
    <w:rsid w:val="00FC549F"/>
    <w:rsid w:val="00FC6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foot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 w:cs="Times New Roman"/>
      <w:sz w:val="20"/>
      <w:lang w:eastAsia="el-GR"/>
    </w:rPr>
  </w:style>
  <w:style w:type="paragraph" w:styleId="ListParagraph">
    <w:name w:val="List Paragraph"/>
    <w:basedOn w:val="Normal"/>
    <w:uiPriority w:val="99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398D"/>
    <w:pPr>
      <w:tabs>
        <w:tab w:val="center" w:pos="4153"/>
        <w:tab w:val="right" w:pos="8306"/>
      </w:tabs>
    </w:pPr>
    <w:rPr>
      <w:rFonts w:eastAsia="Calibri"/>
      <w:szCs w:val="20"/>
    </w:rPr>
  </w:style>
  <w:style w:type="character" w:customStyle="1" w:styleId="HeaderChar">
    <w:name w:val="Header Char"/>
    <w:link w:val="Header"/>
    <w:uiPriority w:val="99"/>
    <w:locked/>
    <w:rsid w:val="00CA398D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rsid w:val="00CA398D"/>
    <w:pPr>
      <w:tabs>
        <w:tab w:val="center" w:pos="4153"/>
        <w:tab w:val="right" w:pos="8306"/>
      </w:tabs>
    </w:pPr>
    <w:rPr>
      <w:rFonts w:eastAsia="Calibri"/>
      <w:szCs w:val="20"/>
    </w:rPr>
  </w:style>
  <w:style w:type="character" w:customStyle="1" w:styleId="FooterChar">
    <w:name w:val="Footer Char"/>
    <w:link w:val="Footer"/>
    <w:locked/>
    <w:rsid w:val="00CA398D"/>
    <w:rPr>
      <w:rFonts w:ascii="Times New Roman" w:hAnsi="Times New Roman" w:cs="Times New Roman"/>
      <w:sz w:val="24"/>
    </w:rPr>
  </w:style>
  <w:style w:type="character" w:styleId="PageNumber">
    <w:name w:val="page number"/>
    <w:uiPriority w:val="99"/>
    <w:rsid w:val="00C8658F"/>
    <w:rPr>
      <w:rFonts w:cs="Times New Roman"/>
    </w:rPr>
  </w:style>
  <w:style w:type="character" w:styleId="CommentReference">
    <w:name w:val="annotation reference"/>
    <w:uiPriority w:val="99"/>
    <w:semiHidden/>
    <w:rsid w:val="000F654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F6540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F6540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654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F6540"/>
    <w:rPr>
      <w:rFonts w:ascii="Times New Roman" w:hAnsi="Times New Roman" w:cs="Times New Roman"/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0F654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F6540"/>
    <w:rPr>
      <w:rFonts w:ascii="Tahoma" w:hAnsi="Tahoma" w:cs="Times New Roman"/>
      <w:sz w:val="16"/>
    </w:rPr>
  </w:style>
  <w:style w:type="paragraph" w:customStyle="1" w:styleId="1">
    <w:name w:val="Παράγραφος λίστας1"/>
    <w:basedOn w:val="Normal"/>
    <w:uiPriority w:val="99"/>
    <w:rsid w:val="003F76C6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99"/>
    <w:locked/>
    <w:rsid w:val="006850C2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99"/>
    <w:rsid w:val="00462E42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3</Pages>
  <Words>1076</Words>
  <Characters>6847</Characters>
  <Application>Microsoft Office Word</Application>
  <DocSecurity>0</DocSecurity>
  <Lines>57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Προϊστάμενος Μονάδας B2</vt:lpstr>
      <vt:lpstr>Προϊστάμενος Μονάδας B2</vt:lpstr>
    </vt:vector>
  </TitlesOfParts>
  <Company>MOU DP sa</Company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Προϊστάμενος Μονάδας B2</dc:title>
  <dc:subject/>
  <dc:creator>ΔΟΥΛΓΕΡΩΦ ΙΒΑΝΑ (Ivana Doulgerof)</dc:creator>
  <cp:keywords/>
  <dc:description/>
  <cp:lastModifiedBy>dbrillaki</cp:lastModifiedBy>
  <cp:revision>111</cp:revision>
  <cp:lastPrinted>2015-07-15T11:47:00Z</cp:lastPrinted>
  <dcterms:created xsi:type="dcterms:W3CDTF">2015-05-08T11:32:00Z</dcterms:created>
  <dcterms:modified xsi:type="dcterms:W3CDTF">2015-11-06T15:28:00Z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</Properties>
</file>